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46752B" w:rsidRPr="0046752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2C80" w:rsidRPr="0046752B" w:rsidRDefault="00E12C80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6752B">
              <w:rPr>
                <w:color w:val="000000" w:themeColor="text1"/>
                <w:sz w:val="24"/>
                <w:szCs w:val="24"/>
              </w:rPr>
              <w:t>24 декабря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2C80" w:rsidRPr="0046752B" w:rsidRDefault="00E12C80">
            <w:pPr>
              <w:pStyle w:val="ConsPlusNormal"/>
              <w:jc w:val="right"/>
              <w:rPr>
                <w:color w:val="000000" w:themeColor="text1"/>
                <w:sz w:val="24"/>
                <w:szCs w:val="24"/>
              </w:rPr>
            </w:pPr>
            <w:r w:rsidRPr="0046752B">
              <w:rPr>
                <w:color w:val="000000" w:themeColor="text1"/>
                <w:sz w:val="24"/>
                <w:szCs w:val="24"/>
              </w:rPr>
              <w:t>N 113-ЗАО</w:t>
            </w:r>
          </w:p>
        </w:tc>
      </w:tr>
    </w:tbl>
    <w:p w:rsidR="00E12C80" w:rsidRPr="0046752B" w:rsidRDefault="00E12C80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jc w:val="center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ЯМАЛО-НЕНЕЦКИЙ АВТОНОМНЫЙ ОКРУГ</w:t>
      </w: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ЗАКОН</w:t>
      </w: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ОБ ОТДЕЛЬНЫХ ВОПРОСАХ ПРЕДОСТАВЛЕНИЯ ИНВЕСТИЦИОННОГО</w:t>
      </w: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НАЛОГОВОГО КРЕДИТА ПО НАЛОГУ НА ПРИБЫЛЬ ОРГАНИЗАЦИЙ,</w:t>
      </w:r>
    </w:p>
    <w:p w:rsidR="00E12C80" w:rsidRPr="0046752B" w:rsidRDefault="00E12C80">
      <w:pPr>
        <w:pStyle w:val="ConsPlusTitle"/>
        <w:jc w:val="center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ЗАЧИСЛЯЕМОМУ В ОКРУЖНОЙ БЮДЖЕТ, И ПО РЕГИОНАЛЬНЫМ НАЛОГАМ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Принят Законодательным Собранием</w:t>
      </w:r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Ямало-Ненецкого автономного округа</w:t>
      </w:r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20 декабря 2018 года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ind w:firstLine="540"/>
        <w:jc w:val="both"/>
        <w:outlineLvl w:val="0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Статья 1. Предмет правового регулирования настоящего Закона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Настоящий Закон в соответствии с </w:t>
      </w:r>
      <w:hyperlink r:id="rId4" w:history="1">
        <w:r w:rsidRPr="0046752B">
          <w:rPr>
            <w:color w:val="000000" w:themeColor="text1"/>
            <w:sz w:val="24"/>
            <w:szCs w:val="24"/>
          </w:rPr>
          <w:t>главой 9</w:t>
        </w:r>
      </w:hyperlink>
      <w:r w:rsidRPr="0046752B">
        <w:rPr>
          <w:color w:val="000000" w:themeColor="text1"/>
          <w:sz w:val="24"/>
          <w:szCs w:val="24"/>
        </w:rPr>
        <w:t xml:space="preserve"> Налогового кодекса Российской Федерации устанавливает иные основания и условия предоставления инвестиционного налогового кредита по налогу на прибыль организаций, зачисляемому в окружной бюджет, и по региональным налогам (далее - инвестиционный налоговый кредит), а также определяет орган, уполномоченный принимать решение об изменении сроков уплаты указанных налогов в форме инвестиционного налогового кредита.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ind w:firstLine="540"/>
        <w:jc w:val="both"/>
        <w:outlineLvl w:val="0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Статья 2. Иные основания и условия предоставления инвестиционного налогового кредита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bookmarkStart w:id="0" w:name="P22"/>
      <w:bookmarkEnd w:id="0"/>
      <w:r w:rsidRPr="0046752B">
        <w:rPr>
          <w:color w:val="000000" w:themeColor="text1"/>
          <w:sz w:val="24"/>
          <w:szCs w:val="24"/>
        </w:rPr>
        <w:t>1. Инвестиционный налоговый кредит может быть предоставлен лицу, претендующему на изменение срока уплаты налога (далее - заинтересованное лицо), при реализации им на территории Ямало-Ненецкого автономного округа инвестиционного проекта в соответствии с видами деятельности, включенными в Перечень приоритетных видов экономической деятельности, имеющих важное социально-экономическое значение для развития Ямало-Ненецкого автономного округа, утверждаемый постановлением Правительства Ямало-Ненецкого автономного округа.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Инвестиционный налоговый кредит предоставляется при условии, что в общем доходе от реализации товаров (работ, услуг) заинтересованного лица доля доходов от видов деятельности, включенных в Перечень приоритетных видов экономической деятельности, имеющих важное социально-экономическое значение для развития Ямало-Ненецкого автономного округа, по итогам года, предшествующего году подачи заявления о предоставлении ему инвестиционного налогового кредита, составляет не менее 70 процентов.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2. Инвестиционный налоговый кредит по основанию, указанному в </w:t>
      </w:r>
      <w:hyperlink w:anchor="P22" w:history="1">
        <w:r w:rsidRPr="0046752B">
          <w:rPr>
            <w:color w:val="000000" w:themeColor="text1"/>
            <w:sz w:val="24"/>
            <w:szCs w:val="24"/>
          </w:rPr>
          <w:t>части 1</w:t>
        </w:r>
      </w:hyperlink>
      <w:r w:rsidRPr="0046752B">
        <w:rPr>
          <w:color w:val="000000" w:themeColor="text1"/>
          <w:sz w:val="24"/>
          <w:szCs w:val="24"/>
        </w:rPr>
        <w:t xml:space="preserve"> настоящей статьи, предоставляется на основании заявления заинтересованного лица о предоставлении инвестиционного налогового кредита при условии предоставления следующих документов: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1) бизнес-план инвестиционного проекта;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2) справка заинтересованного лица о стадии реализации инвестиционного проекта на момент обращения с заявлением о предоставлении инвестиционного налогового кредита;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3) составленный заинтересованным лицом документ, подтверждающий, что в общем доходе от реализации товаров (работ, услуг) такого лица доля его доходов от видов деятельности, включенных в Перечень приоритетных видов экономической деятельности, имеющих важное социально-экономическое значение для развития Ямало-Ненецкого </w:t>
      </w:r>
      <w:r w:rsidRPr="0046752B">
        <w:rPr>
          <w:color w:val="000000" w:themeColor="text1"/>
          <w:sz w:val="24"/>
          <w:szCs w:val="24"/>
        </w:rPr>
        <w:lastRenderedPageBreak/>
        <w:t>автономного округа, по итогам года, предшествующего году подачи заявления о предоставлении ему инвестиционного налогового кредита, составляет не менее 70 процентов.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3. Инвестиционный налоговый кредит по основанию, указанному в </w:t>
      </w:r>
      <w:hyperlink w:anchor="P22" w:history="1">
        <w:r w:rsidRPr="0046752B">
          <w:rPr>
            <w:color w:val="000000" w:themeColor="text1"/>
            <w:sz w:val="24"/>
            <w:szCs w:val="24"/>
          </w:rPr>
          <w:t>части 1</w:t>
        </w:r>
      </w:hyperlink>
      <w:r w:rsidRPr="0046752B">
        <w:rPr>
          <w:color w:val="000000" w:themeColor="text1"/>
          <w:sz w:val="24"/>
          <w:szCs w:val="24"/>
        </w:rPr>
        <w:t xml:space="preserve"> настоящей статьи, предоставляется на сумму, определяемую в договоре об инвестиционном налоговом кредите.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4. Инвестиционный налоговый кредит по основанию, указанному в </w:t>
      </w:r>
      <w:hyperlink w:anchor="P22" w:history="1">
        <w:r w:rsidRPr="0046752B">
          <w:rPr>
            <w:color w:val="000000" w:themeColor="text1"/>
            <w:sz w:val="24"/>
            <w:szCs w:val="24"/>
          </w:rPr>
          <w:t>части 1</w:t>
        </w:r>
      </w:hyperlink>
      <w:r w:rsidRPr="0046752B">
        <w:rPr>
          <w:color w:val="000000" w:themeColor="text1"/>
          <w:sz w:val="24"/>
          <w:szCs w:val="24"/>
        </w:rPr>
        <w:t xml:space="preserve"> настоящей статьи, предоставляется на срок окупаемости инвестиционного проекта, но не более чем на пять лет со дня вступления в силу договора об инвестиционном налоговом кредите.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5. Процентная ставка за пользование инвестиционным налоговым кредитом по основанию, указанному в </w:t>
      </w:r>
      <w:hyperlink w:anchor="P22" w:history="1">
        <w:r w:rsidRPr="0046752B">
          <w:rPr>
            <w:color w:val="000000" w:themeColor="text1"/>
            <w:sz w:val="24"/>
            <w:szCs w:val="24"/>
          </w:rPr>
          <w:t>части 1</w:t>
        </w:r>
      </w:hyperlink>
      <w:r w:rsidRPr="0046752B">
        <w:rPr>
          <w:color w:val="000000" w:themeColor="text1"/>
          <w:sz w:val="24"/>
          <w:szCs w:val="24"/>
        </w:rPr>
        <w:t xml:space="preserve"> настоящей статьи, устанавливается в размере одной второй ставки рефинансирования Центрального банка Российской Федерации, действовавшей в период действия договора об инвестиционном налоговом кредите.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ind w:firstLine="540"/>
        <w:jc w:val="both"/>
        <w:outlineLvl w:val="0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Статья 3. Орган, уполномоченный принимать решение об изменении сроков уплаты налога на прибыль организаций, зачисляемого в окружной бюджет, и региональных налогов в форме инвестиционного налогового кредита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Органом, уполномоченным принимать решение об изменении сроков уплаты налога на прибыль организаций, зачисляемого в окружной бюджет, и региональных налогов в форме инвестиционного налогового кредита, является Правительство Ямало-Ненецкого автономного округа.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Title"/>
        <w:ind w:firstLine="540"/>
        <w:jc w:val="both"/>
        <w:outlineLvl w:val="0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Статья 4. Заключительные положения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1. Настоящий Закон вступает в силу с 01 января 2019 года.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2. Со дня вступления в силу настоящего Закона признать утратившими силу: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1) </w:t>
      </w:r>
      <w:hyperlink r:id="rId5" w:history="1">
        <w:r w:rsidRPr="0046752B">
          <w:rPr>
            <w:color w:val="000000" w:themeColor="text1"/>
            <w:sz w:val="24"/>
            <w:szCs w:val="24"/>
          </w:rPr>
          <w:t>Закон</w:t>
        </w:r>
      </w:hyperlink>
      <w:r w:rsidRPr="0046752B">
        <w:rPr>
          <w:color w:val="000000" w:themeColor="text1"/>
          <w:sz w:val="24"/>
          <w:szCs w:val="24"/>
        </w:rPr>
        <w:t xml:space="preserve"> Ямало-Ненецкого автономного округа от 16 февраля 2005 года N 7-ЗАО "О дополнительных основаниях и условиях предоставления отсрочки, рассрочки, инвестиционного налогового кредита по региональным налогам";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2) </w:t>
      </w:r>
      <w:hyperlink r:id="rId6" w:history="1">
        <w:r w:rsidRPr="0046752B">
          <w:rPr>
            <w:color w:val="000000" w:themeColor="text1"/>
            <w:sz w:val="24"/>
            <w:szCs w:val="24"/>
          </w:rPr>
          <w:t>статью 4</w:t>
        </w:r>
      </w:hyperlink>
      <w:r w:rsidRPr="0046752B">
        <w:rPr>
          <w:color w:val="000000" w:themeColor="text1"/>
          <w:sz w:val="24"/>
          <w:szCs w:val="24"/>
        </w:rPr>
        <w:t xml:space="preserve"> Закона Ямало-Ненецкого автономного округа от 08 октября 2010 года N 97-ЗАО "О внесении изменений в некоторые законы Ямало-Ненецкого автономного округа";</w:t>
      </w:r>
    </w:p>
    <w:p w:rsidR="00E12C80" w:rsidRPr="0046752B" w:rsidRDefault="00E12C80" w:rsidP="0046752B">
      <w:pPr>
        <w:pStyle w:val="ConsPlusNormal"/>
        <w:ind w:firstLine="539"/>
        <w:jc w:val="both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 xml:space="preserve">3) </w:t>
      </w:r>
      <w:hyperlink r:id="rId7" w:history="1">
        <w:r w:rsidRPr="0046752B">
          <w:rPr>
            <w:color w:val="000000" w:themeColor="text1"/>
            <w:sz w:val="24"/>
            <w:szCs w:val="24"/>
          </w:rPr>
          <w:t>статью 6</w:t>
        </w:r>
      </w:hyperlink>
      <w:r w:rsidRPr="0046752B">
        <w:rPr>
          <w:color w:val="000000" w:themeColor="text1"/>
          <w:sz w:val="24"/>
          <w:szCs w:val="24"/>
        </w:rPr>
        <w:t xml:space="preserve"> Закона Ямало-Ненецкого автономного округа от 23 декабря 2010 года N 146-ЗАО "О внесении изменений в некоторые законы Ямало-Ненецкого автономного округа в сфере бюджетного законодательства и законодательства о налогах и сборах".</w:t>
      </w:r>
    </w:p>
    <w:p w:rsidR="00E12C80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46752B" w:rsidRPr="0046752B" w:rsidRDefault="0046752B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bookmarkStart w:id="1" w:name="_GoBack"/>
      <w:bookmarkEnd w:id="1"/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Губернатор</w:t>
      </w:r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Ямало-Ненецкого автономного округа</w:t>
      </w:r>
    </w:p>
    <w:p w:rsidR="00E12C80" w:rsidRPr="0046752B" w:rsidRDefault="00E12C80">
      <w:pPr>
        <w:pStyle w:val="ConsPlusNormal"/>
        <w:jc w:val="right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Д.А.АРТЮХОВ</w:t>
      </w:r>
    </w:p>
    <w:p w:rsidR="00E12C80" w:rsidRPr="0046752B" w:rsidRDefault="00E12C80" w:rsidP="0046752B">
      <w:pPr>
        <w:pStyle w:val="ConsPlusNormal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г. Салехард</w:t>
      </w:r>
    </w:p>
    <w:p w:rsidR="00E12C80" w:rsidRPr="0046752B" w:rsidRDefault="00E12C80" w:rsidP="0046752B">
      <w:pPr>
        <w:pStyle w:val="ConsPlusNormal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24 декабря 2018 года</w:t>
      </w:r>
    </w:p>
    <w:p w:rsidR="00E12C80" w:rsidRPr="0046752B" w:rsidRDefault="00E12C80" w:rsidP="0046752B">
      <w:pPr>
        <w:pStyle w:val="ConsPlusNormal"/>
        <w:rPr>
          <w:color w:val="000000" w:themeColor="text1"/>
          <w:sz w:val="24"/>
          <w:szCs w:val="24"/>
        </w:rPr>
      </w:pPr>
      <w:r w:rsidRPr="0046752B">
        <w:rPr>
          <w:color w:val="000000" w:themeColor="text1"/>
          <w:sz w:val="24"/>
          <w:szCs w:val="24"/>
        </w:rPr>
        <w:t>N 113-ЗАО</w:t>
      </w: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E12C80" w:rsidRPr="0046752B" w:rsidRDefault="00E12C80">
      <w:pPr>
        <w:pStyle w:val="ConsPlusNormal"/>
        <w:pBdr>
          <w:top w:val="single" w:sz="6" w:space="0" w:color="auto"/>
        </w:pBdr>
        <w:spacing w:before="100" w:after="100"/>
        <w:jc w:val="both"/>
        <w:rPr>
          <w:color w:val="000000" w:themeColor="text1"/>
          <w:sz w:val="24"/>
          <w:szCs w:val="24"/>
        </w:rPr>
      </w:pPr>
    </w:p>
    <w:p w:rsidR="00674930" w:rsidRPr="0046752B" w:rsidRDefault="0046752B">
      <w:pPr>
        <w:rPr>
          <w:color w:val="000000" w:themeColor="text1"/>
          <w:sz w:val="24"/>
          <w:szCs w:val="24"/>
        </w:rPr>
      </w:pPr>
    </w:p>
    <w:sectPr w:rsidR="00674930" w:rsidRPr="0046752B" w:rsidSect="007B5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80"/>
    <w:rsid w:val="0026096D"/>
    <w:rsid w:val="0046752B"/>
    <w:rsid w:val="006D3021"/>
    <w:rsid w:val="00A34480"/>
    <w:rsid w:val="00B85C9A"/>
    <w:rsid w:val="00E1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37EAA"/>
  <w15:chartTrackingRefBased/>
  <w15:docId w15:val="{38918C9C-74B6-4FC4-B226-5D3EB862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480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C80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E12C80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E12C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348C292E436F9C3AC8FC2CCC0F3A4E5E706BA718B934013A6FDE79AE5C129ADA9B0F35866F359FE9CC6EB52C855C37F9CBB94987D65EB15F2C491y9S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48C292E436F9C3AC8FC2CCC0F3A4E5E706BA71809D4410ABFDE79AE5C129ADA9B0F35866F359FE9CC7EF5CC855C37F9CBB94987D65EB15F2C491y9S0F" TargetMode="External"/><Relationship Id="rId5" Type="http://schemas.openxmlformats.org/officeDocument/2006/relationships/hyperlink" Target="consultantplus://offline/ref=A348C292E436F9C3AC8FC2CCC0F3A4E5E706BA718B93471CA2FDE79AE5C129ADA9B0F34A66AB55FF98D9EE55DD03923AyCS0F" TargetMode="External"/><Relationship Id="rId4" Type="http://schemas.openxmlformats.org/officeDocument/2006/relationships/hyperlink" Target="consultantplus://offline/ref=A348C292E436F9C3AC8FDCC1D69FF3E8E20DE4748D9A4843FEA2BCC7B2C823FAEEFFAA1A22FF5CF99DCCBA0587549F3ACDA8959D7D67EA0AyFS9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Мезёв Вадим Викторович</dc:creator>
  <cp:keywords/>
  <dc:description/>
  <cp:lastModifiedBy>Мезёв Вадим Викторович</cp:lastModifiedBy>
  <cp:revision>2</cp:revision>
  <dcterms:created xsi:type="dcterms:W3CDTF">2019-01-14T05:18:00Z</dcterms:created>
  <dcterms:modified xsi:type="dcterms:W3CDTF">2019-01-14T05:21:00Z</dcterms:modified>
</cp:coreProperties>
</file>